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206"/>
        <w:tblW w:w="20946" w:type="dxa"/>
        <w:tblLook w:val="04A0" w:firstRow="1" w:lastRow="0" w:firstColumn="1" w:lastColumn="0" w:noHBand="0" w:noVBand="1"/>
      </w:tblPr>
      <w:tblGrid>
        <w:gridCol w:w="3936"/>
        <w:gridCol w:w="1134"/>
        <w:gridCol w:w="4677"/>
        <w:gridCol w:w="11199"/>
      </w:tblGrid>
      <w:tr w:rsidR="000947A9" w:rsidTr="00E01DF7">
        <w:tc>
          <w:tcPr>
            <w:tcW w:w="3936" w:type="dxa"/>
          </w:tcPr>
          <w:p w:rsidR="007A20C4" w:rsidRPr="0058603B" w:rsidRDefault="007A20C4" w:rsidP="00E01D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603B"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科目名</w:t>
            </w:r>
          </w:p>
        </w:tc>
        <w:tc>
          <w:tcPr>
            <w:tcW w:w="1134" w:type="dxa"/>
          </w:tcPr>
          <w:p w:rsidR="007A20C4" w:rsidRPr="0058603B" w:rsidRDefault="007A20C4" w:rsidP="00E01D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603B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時間数</w:t>
            </w:r>
          </w:p>
        </w:tc>
        <w:tc>
          <w:tcPr>
            <w:tcW w:w="4677" w:type="dxa"/>
          </w:tcPr>
          <w:p w:rsidR="007A20C4" w:rsidRPr="0058603B" w:rsidRDefault="007A20C4" w:rsidP="00E01D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603B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項目名</w:t>
            </w:r>
          </w:p>
        </w:tc>
        <w:tc>
          <w:tcPr>
            <w:tcW w:w="11199" w:type="dxa"/>
          </w:tcPr>
          <w:p w:rsidR="007A20C4" w:rsidRPr="0058603B" w:rsidRDefault="00D009B3" w:rsidP="00E01D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</w:tr>
      <w:tr w:rsidR="00A958E8" w:rsidTr="00E01DF7">
        <w:tc>
          <w:tcPr>
            <w:tcW w:w="3936" w:type="dxa"/>
            <w:vMerge w:val="restart"/>
          </w:tcPr>
          <w:p w:rsidR="007A20C4" w:rsidRPr="000947A9" w:rsidRDefault="000947A9" w:rsidP="00E01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</w:t>
            </w:r>
            <w:r w:rsidR="007A20C4" w:rsidRPr="000947A9">
              <w:rPr>
                <w:rFonts w:hint="eastAsia"/>
                <w:sz w:val="24"/>
                <w:szCs w:val="24"/>
              </w:rPr>
              <w:t xml:space="preserve">　職務の理解</w:t>
            </w:r>
          </w:p>
        </w:tc>
        <w:tc>
          <w:tcPr>
            <w:tcW w:w="1134" w:type="dxa"/>
            <w:vMerge w:val="restart"/>
            <w:vAlign w:val="center"/>
          </w:tcPr>
          <w:p w:rsidR="007A20C4" w:rsidRPr="000947A9" w:rsidRDefault="007A20C4" w:rsidP="00E01DF7">
            <w:pPr>
              <w:jc w:val="center"/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677" w:type="dxa"/>
          </w:tcPr>
          <w:p w:rsidR="007A20C4" w:rsidRPr="000947A9" w:rsidRDefault="007A20C4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介護保険制度</w:t>
            </w:r>
          </w:p>
        </w:tc>
        <w:tc>
          <w:tcPr>
            <w:tcW w:w="11199" w:type="dxa"/>
          </w:tcPr>
          <w:p w:rsidR="001B672A" w:rsidRPr="000947A9" w:rsidRDefault="00D009B3" w:rsidP="00E01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●介護保険制度創設の背景及び目的</w:t>
            </w:r>
            <w:r w:rsidR="007A20C4" w:rsidRPr="000947A9">
              <w:rPr>
                <w:rFonts w:hint="eastAsia"/>
                <w:sz w:val="24"/>
                <w:szCs w:val="24"/>
              </w:rPr>
              <w:t>●介護保険制度の基本的仕組み</w:t>
            </w:r>
          </w:p>
        </w:tc>
      </w:tr>
      <w:tr w:rsidR="00A958E8" w:rsidTr="00E01DF7">
        <w:tc>
          <w:tcPr>
            <w:tcW w:w="3936" w:type="dxa"/>
            <w:vMerge/>
          </w:tcPr>
          <w:p w:rsidR="007A20C4" w:rsidRPr="000947A9" w:rsidRDefault="007A20C4" w:rsidP="00E01D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20C4" w:rsidRPr="000947A9" w:rsidRDefault="007A20C4" w:rsidP="00E0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A20C4" w:rsidRPr="000947A9" w:rsidRDefault="007A20C4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多様なサービスの理解</w:t>
            </w:r>
          </w:p>
        </w:tc>
        <w:tc>
          <w:tcPr>
            <w:tcW w:w="11199" w:type="dxa"/>
          </w:tcPr>
          <w:p w:rsidR="007A20C4" w:rsidRPr="000947A9" w:rsidRDefault="0035319F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●介護給付</w:t>
            </w:r>
            <w:r w:rsidRPr="000947A9">
              <w:rPr>
                <w:rFonts w:hint="eastAsia"/>
                <w:sz w:val="24"/>
                <w:szCs w:val="24"/>
              </w:rPr>
              <w:t xml:space="preserve"> </w:t>
            </w:r>
            <w:r w:rsidRPr="000947A9">
              <w:rPr>
                <w:rFonts w:hint="eastAsia"/>
                <w:sz w:val="24"/>
                <w:szCs w:val="24"/>
              </w:rPr>
              <w:t>●予防給付●介護予防・生活支援サービス事業</w:t>
            </w:r>
          </w:p>
        </w:tc>
      </w:tr>
      <w:tr w:rsidR="00A958E8" w:rsidTr="00E01DF7">
        <w:tc>
          <w:tcPr>
            <w:tcW w:w="3936" w:type="dxa"/>
            <w:vMerge/>
          </w:tcPr>
          <w:p w:rsidR="007A20C4" w:rsidRPr="000947A9" w:rsidRDefault="007A20C4" w:rsidP="00E01D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20C4" w:rsidRPr="000947A9" w:rsidRDefault="007A20C4" w:rsidP="00E0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A20C4" w:rsidRPr="000947A9" w:rsidRDefault="007A20C4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仕事内容や働く現場の理解</w:t>
            </w:r>
          </w:p>
        </w:tc>
        <w:tc>
          <w:tcPr>
            <w:tcW w:w="11199" w:type="dxa"/>
          </w:tcPr>
          <w:p w:rsidR="007A20C4" w:rsidRPr="000947A9" w:rsidRDefault="0035319F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●仕事内容や働く現場の理解（訪問型サービス）</w:t>
            </w:r>
          </w:p>
        </w:tc>
      </w:tr>
      <w:tr w:rsidR="00A958E8" w:rsidTr="00E01DF7">
        <w:trPr>
          <w:trHeight w:val="681"/>
        </w:trPr>
        <w:tc>
          <w:tcPr>
            <w:tcW w:w="3936" w:type="dxa"/>
            <w:vMerge/>
          </w:tcPr>
          <w:p w:rsidR="007A20C4" w:rsidRPr="000947A9" w:rsidRDefault="007A20C4" w:rsidP="00E01D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20C4" w:rsidRPr="000947A9" w:rsidRDefault="007A20C4" w:rsidP="00E0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A20C4" w:rsidRPr="000947A9" w:rsidRDefault="007A20C4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介護職の役割、専門性と多職種との連携</w:t>
            </w:r>
          </w:p>
        </w:tc>
        <w:tc>
          <w:tcPr>
            <w:tcW w:w="11199" w:type="dxa"/>
          </w:tcPr>
          <w:p w:rsidR="007A20C4" w:rsidRPr="000947A9" w:rsidRDefault="0035319F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●サービス提供に至るまでの流れ（要介護・要支援認定、基本チェックリスト、地域包括支援センター、介護支援専門員、ケアプラン）</w:t>
            </w:r>
            <w:r w:rsidR="00B949C8">
              <w:rPr>
                <w:rFonts w:hint="eastAsia"/>
                <w:sz w:val="24"/>
                <w:szCs w:val="24"/>
              </w:rPr>
              <w:t>●チームケアの意義、多職種連携</w:t>
            </w:r>
          </w:p>
        </w:tc>
      </w:tr>
      <w:tr w:rsidR="001B672A" w:rsidTr="00E01DF7">
        <w:trPr>
          <w:trHeight w:val="1489"/>
        </w:trPr>
        <w:tc>
          <w:tcPr>
            <w:tcW w:w="3936" w:type="dxa"/>
          </w:tcPr>
          <w:p w:rsidR="001B672A" w:rsidRDefault="001B672A" w:rsidP="00E01DF7">
            <w:pPr>
              <w:ind w:left="850" w:hangingChars="354" w:hanging="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  <w:r w:rsidRPr="000947A9">
              <w:rPr>
                <w:rFonts w:hint="eastAsia"/>
                <w:sz w:val="24"/>
                <w:szCs w:val="24"/>
              </w:rPr>
              <w:t xml:space="preserve"> </w:t>
            </w:r>
            <w:r w:rsidRPr="000947A9">
              <w:rPr>
                <w:rFonts w:hint="eastAsia"/>
                <w:sz w:val="24"/>
                <w:szCs w:val="24"/>
              </w:rPr>
              <w:t>介護における</w:t>
            </w:r>
          </w:p>
          <w:p w:rsidR="001B672A" w:rsidRPr="000947A9" w:rsidRDefault="001B672A" w:rsidP="00E01DF7">
            <w:pPr>
              <w:ind w:leftChars="300" w:left="630" w:firstLineChars="100" w:firstLine="240"/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コミュニケーション技術</w:t>
            </w:r>
          </w:p>
        </w:tc>
        <w:tc>
          <w:tcPr>
            <w:tcW w:w="1134" w:type="dxa"/>
            <w:vAlign w:val="center"/>
          </w:tcPr>
          <w:p w:rsidR="001B672A" w:rsidRPr="000947A9" w:rsidRDefault="001B672A" w:rsidP="00E01D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677" w:type="dxa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介護におけるコミュニケーション</w:t>
            </w:r>
          </w:p>
        </w:tc>
        <w:tc>
          <w:tcPr>
            <w:tcW w:w="11199" w:type="dxa"/>
          </w:tcPr>
          <w:p w:rsidR="00B949C8" w:rsidRDefault="00B949C8" w:rsidP="00E01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●介護におけるコミュニケーションの意義、目的、役割</w:t>
            </w:r>
          </w:p>
          <w:p w:rsidR="001B672A" w:rsidRPr="000947A9" w:rsidRDefault="00B949C8" w:rsidP="00E01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・利用者、</w:t>
            </w:r>
            <w:r w:rsidR="001B672A" w:rsidRPr="000947A9">
              <w:rPr>
                <w:rFonts w:hint="eastAsia"/>
                <w:sz w:val="24"/>
                <w:szCs w:val="24"/>
              </w:rPr>
              <w:t>家族とのコミュニケーション（相手への理解や配慮、傾聴、</w:t>
            </w:r>
            <w:r w:rsidR="000D552D">
              <w:rPr>
                <w:rFonts w:hint="eastAsia"/>
                <w:sz w:val="24"/>
                <w:szCs w:val="24"/>
              </w:rPr>
              <w:t>意欲低下の原因を考える、</w:t>
            </w:r>
            <w:r w:rsidR="001B672A" w:rsidRPr="000947A9">
              <w:rPr>
                <w:rFonts w:hint="eastAsia"/>
                <w:sz w:val="24"/>
                <w:szCs w:val="24"/>
              </w:rPr>
              <w:t>共感、家族の心理の理解、信頼関係の形成）</w:t>
            </w:r>
          </w:p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●利用者の障がい（視力・聴力障がい、失語症、構音障がい、認知症）等の状況に応じたコミュニケーション</w:t>
            </w:r>
          </w:p>
        </w:tc>
      </w:tr>
      <w:tr w:rsidR="001B672A" w:rsidTr="00E01DF7">
        <w:trPr>
          <w:trHeight w:val="1539"/>
        </w:trPr>
        <w:tc>
          <w:tcPr>
            <w:tcW w:w="3936" w:type="dxa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</w:t>
            </w:r>
            <w:r w:rsidRPr="000947A9">
              <w:rPr>
                <w:rFonts w:hint="eastAsia"/>
                <w:sz w:val="24"/>
                <w:szCs w:val="24"/>
              </w:rPr>
              <w:t xml:space="preserve">　生活支援技術</w:t>
            </w:r>
          </w:p>
        </w:tc>
        <w:tc>
          <w:tcPr>
            <w:tcW w:w="1134" w:type="dxa"/>
            <w:vAlign w:val="center"/>
          </w:tcPr>
          <w:p w:rsidR="001B672A" w:rsidRPr="000947A9" w:rsidRDefault="001B672A" w:rsidP="00E01DF7">
            <w:pPr>
              <w:jc w:val="center"/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677" w:type="dxa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生活と家事</w:t>
            </w:r>
          </w:p>
        </w:tc>
        <w:tc>
          <w:tcPr>
            <w:tcW w:w="11199" w:type="dxa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●家事援助に関する基礎的知識と生活支援</w:t>
            </w:r>
          </w:p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（生活歴・価値観の理解、生活援助のポイント（調理、洗濯、掃除、買物等））</w:t>
            </w:r>
          </w:p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●介護保険の対象外の支援</w:t>
            </w:r>
          </w:p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（衣替え、庭掃除等事例紹介）</w:t>
            </w:r>
          </w:p>
        </w:tc>
      </w:tr>
      <w:tr w:rsidR="001B672A" w:rsidTr="00E01DF7">
        <w:tc>
          <w:tcPr>
            <w:tcW w:w="3936" w:type="dxa"/>
            <w:vMerge w:val="restart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（４）</w:t>
            </w:r>
            <w:r w:rsidRPr="000947A9">
              <w:rPr>
                <w:rFonts w:hint="eastAsia"/>
                <w:sz w:val="24"/>
                <w:szCs w:val="24"/>
              </w:rPr>
              <w:t xml:space="preserve">　老化の理解</w:t>
            </w:r>
          </w:p>
        </w:tc>
        <w:tc>
          <w:tcPr>
            <w:tcW w:w="1134" w:type="dxa"/>
            <w:vMerge w:val="restart"/>
            <w:vAlign w:val="center"/>
          </w:tcPr>
          <w:p w:rsidR="001B672A" w:rsidRPr="000947A9" w:rsidRDefault="001B672A" w:rsidP="00E01DF7">
            <w:pPr>
              <w:jc w:val="center"/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677" w:type="dxa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老化に伴うこころとからだの変化と日常</w:t>
            </w:r>
          </w:p>
        </w:tc>
        <w:tc>
          <w:tcPr>
            <w:tcW w:w="11199" w:type="dxa"/>
          </w:tcPr>
          <w:p w:rsidR="000D552D" w:rsidRDefault="000D552D" w:rsidP="00E01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●老年期の発達と老化に伴う心身の変化と日常</w:t>
            </w:r>
          </w:p>
          <w:p w:rsidR="001B672A" w:rsidRPr="000947A9" w:rsidRDefault="000D552D" w:rsidP="00E01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B672A" w:rsidRPr="000947A9">
              <w:rPr>
                <w:rFonts w:hint="eastAsia"/>
                <w:sz w:val="24"/>
                <w:szCs w:val="24"/>
              </w:rPr>
              <w:t>身体的機能の変化と日常生活への影響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1B672A" w:rsidRPr="000947A9">
              <w:rPr>
                <w:rFonts w:hint="eastAsia"/>
                <w:sz w:val="24"/>
                <w:szCs w:val="24"/>
              </w:rPr>
              <w:t>精神的機能の変化と日常生活への影響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B672A" w:rsidTr="00E01DF7">
        <w:tc>
          <w:tcPr>
            <w:tcW w:w="3936" w:type="dxa"/>
            <w:vMerge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672A" w:rsidRPr="000947A9" w:rsidRDefault="001B672A" w:rsidP="00E0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高齢者と健康</w:t>
            </w:r>
          </w:p>
        </w:tc>
        <w:tc>
          <w:tcPr>
            <w:tcW w:w="11199" w:type="dxa"/>
          </w:tcPr>
          <w:p w:rsidR="001B672A" w:rsidRPr="00612230" w:rsidRDefault="001B672A" w:rsidP="00E01DF7">
            <w:pPr>
              <w:rPr>
                <w:sz w:val="24"/>
                <w:szCs w:val="24"/>
              </w:rPr>
            </w:pPr>
            <w:r w:rsidRPr="00612230">
              <w:rPr>
                <w:rFonts w:hint="eastAsia"/>
                <w:sz w:val="24"/>
                <w:szCs w:val="24"/>
              </w:rPr>
              <w:t>●要支援高齢者の状態像、老化による心身の変化、障害と</w:t>
            </w:r>
            <w:r w:rsidRPr="00612230">
              <w:rPr>
                <w:rFonts w:hint="eastAsia"/>
                <w:sz w:val="24"/>
                <w:szCs w:val="24"/>
              </w:rPr>
              <w:t>ICF</w:t>
            </w:r>
            <w:r w:rsidRPr="00612230">
              <w:rPr>
                <w:rFonts w:hint="eastAsia"/>
                <w:sz w:val="24"/>
                <w:szCs w:val="24"/>
              </w:rPr>
              <w:t>の基礎知識</w:t>
            </w:r>
          </w:p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●高齢者の疾病（機能低下）と日常生活上の留意点</w:t>
            </w:r>
          </w:p>
          <w:p w:rsidR="001B672A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●高齢者に多い病気と日常生活上の留意点</w:t>
            </w:r>
          </w:p>
          <w:p w:rsidR="001B672A" w:rsidRPr="00612230" w:rsidRDefault="001B672A" w:rsidP="00E01DF7">
            <w:pPr>
              <w:rPr>
                <w:sz w:val="24"/>
                <w:szCs w:val="24"/>
              </w:rPr>
            </w:pPr>
            <w:r w:rsidRPr="00612230">
              <w:rPr>
                <w:rFonts w:hint="eastAsia"/>
                <w:sz w:val="24"/>
                <w:szCs w:val="24"/>
              </w:rPr>
              <w:t>●社会参加と閉じこもり予防、運動機能訓練、栄養改善。口腔ケアなどの意義</w:t>
            </w:r>
          </w:p>
        </w:tc>
      </w:tr>
      <w:tr w:rsidR="001B672A" w:rsidTr="00E01DF7">
        <w:tc>
          <w:tcPr>
            <w:tcW w:w="3936" w:type="dxa"/>
            <w:vMerge w:val="restart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（５）</w:t>
            </w:r>
            <w:r w:rsidRPr="000947A9">
              <w:rPr>
                <w:rFonts w:hint="eastAsia"/>
                <w:sz w:val="24"/>
                <w:szCs w:val="24"/>
              </w:rPr>
              <w:t xml:space="preserve">　認知症の理解</w:t>
            </w:r>
          </w:p>
        </w:tc>
        <w:tc>
          <w:tcPr>
            <w:tcW w:w="1134" w:type="dxa"/>
            <w:vMerge w:val="restart"/>
            <w:vAlign w:val="center"/>
          </w:tcPr>
          <w:p w:rsidR="001B672A" w:rsidRPr="000947A9" w:rsidRDefault="001B672A" w:rsidP="00E01DF7">
            <w:pPr>
              <w:jc w:val="center"/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677" w:type="dxa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認知症を取り巻く状況</w:t>
            </w:r>
          </w:p>
        </w:tc>
        <w:tc>
          <w:tcPr>
            <w:tcW w:w="11199" w:type="dxa"/>
          </w:tcPr>
          <w:p w:rsidR="001B672A" w:rsidRPr="000F2310" w:rsidRDefault="001B672A" w:rsidP="00E01DF7">
            <w:pPr>
              <w:rPr>
                <w:sz w:val="24"/>
                <w:szCs w:val="24"/>
                <w:u w:val="wave"/>
              </w:rPr>
            </w:pPr>
            <w:r>
              <w:rPr>
                <w:rFonts w:hint="eastAsia"/>
                <w:sz w:val="24"/>
                <w:szCs w:val="24"/>
              </w:rPr>
              <w:t>●認知症</w:t>
            </w:r>
            <w:r w:rsidR="000D552D">
              <w:rPr>
                <w:rFonts w:hint="eastAsia"/>
                <w:sz w:val="24"/>
                <w:szCs w:val="24"/>
              </w:rPr>
              <w:t>ケアの理念</w:t>
            </w:r>
          </w:p>
        </w:tc>
      </w:tr>
      <w:tr w:rsidR="001B672A" w:rsidTr="00E01DF7">
        <w:tc>
          <w:tcPr>
            <w:tcW w:w="3936" w:type="dxa"/>
            <w:vMerge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672A" w:rsidRPr="000947A9" w:rsidRDefault="001B672A" w:rsidP="00E0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認知症の基礎と</w:t>
            </w:r>
            <w:r w:rsidR="000D552D" w:rsidRPr="000947A9">
              <w:rPr>
                <w:rFonts w:hint="eastAsia"/>
                <w:sz w:val="24"/>
                <w:szCs w:val="24"/>
              </w:rPr>
              <w:t>健康管理</w:t>
            </w:r>
          </w:p>
        </w:tc>
        <w:tc>
          <w:tcPr>
            <w:tcW w:w="11199" w:type="dxa"/>
          </w:tcPr>
          <w:p w:rsidR="001B672A" w:rsidRPr="000947A9" w:rsidRDefault="000D552D" w:rsidP="00E01DF7">
            <w:pPr>
              <w:rPr>
                <w:sz w:val="24"/>
                <w:szCs w:val="24"/>
              </w:rPr>
            </w:pPr>
            <w:r w:rsidRPr="00612230">
              <w:rPr>
                <w:rFonts w:hint="eastAsia"/>
                <w:sz w:val="24"/>
                <w:szCs w:val="24"/>
              </w:rPr>
              <w:t>●認知症の基礎知識、予防と早期発見</w:t>
            </w:r>
            <w:r>
              <w:rPr>
                <w:rFonts w:hint="eastAsia"/>
                <w:sz w:val="24"/>
                <w:szCs w:val="24"/>
              </w:rPr>
              <w:t>、健康管理</w:t>
            </w:r>
          </w:p>
        </w:tc>
      </w:tr>
      <w:tr w:rsidR="000D552D" w:rsidTr="00E01DF7">
        <w:trPr>
          <w:trHeight w:val="338"/>
        </w:trPr>
        <w:tc>
          <w:tcPr>
            <w:tcW w:w="3936" w:type="dxa"/>
            <w:vMerge/>
          </w:tcPr>
          <w:p w:rsidR="000D552D" w:rsidRPr="000947A9" w:rsidRDefault="000D552D" w:rsidP="00E01D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D552D" w:rsidRPr="000947A9" w:rsidRDefault="000D552D" w:rsidP="00E0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D552D" w:rsidRPr="000947A9" w:rsidRDefault="000D552D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認知症に伴う変化と日常生活</w:t>
            </w:r>
          </w:p>
        </w:tc>
        <w:tc>
          <w:tcPr>
            <w:tcW w:w="11199" w:type="dxa"/>
          </w:tcPr>
          <w:p w:rsidR="000D552D" w:rsidRPr="000947A9" w:rsidRDefault="000D552D" w:rsidP="00E01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●認知症の人の生活</w:t>
            </w:r>
            <w:r w:rsidR="00E01DF7">
              <w:rPr>
                <w:rFonts w:hint="eastAsia"/>
                <w:sz w:val="24"/>
                <w:szCs w:val="24"/>
              </w:rPr>
              <w:t>障がい、心理、行動の特徴</w:t>
            </w:r>
          </w:p>
        </w:tc>
      </w:tr>
      <w:tr w:rsidR="001B672A" w:rsidTr="00E01DF7">
        <w:trPr>
          <w:trHeight w:val="360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B672A" w:rsidRPr="000947A9" w:rsidRDefault="001B672A" w:rsidP="00E0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家族への支援</w:t>
            </w:r>
          </w:p>
        </w:tc>
        <w:tc>
          <w:tcPr>
            <w:tcW w:w="11199" w:type="dxa"/>
            <w:tcBorders>
              <w:bottom w:val="single" w:sz="4" w:space="0" w:color="auto"/>
            </w:tcBorders>
          </w:tcPr>
          <w:p w:rsidR="001B672A" w:rsidRPr="000947A9" w:rsidRDefault="00E01DF7" w:rsidP="00E01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●認知症の需要過程での援助、介護負担の軽減</w:t>
            </w:r>
          </w:p>
        </w:tc>
      </w:tr>
      <w:tr w:rsidR="001B672A" w:rsidTr="00E01DF7">
        <w:tc>
          <w:tcPr>
            <w:tcW w:w="3936" w:type="dxa"/>
            <w:vMerge w:val="restart"/>
          </w:tcPr>
          <w:p w:rsidR="001B672A" w:rsidRPr="000947A9" w:rsidRDefault="001B672A" w:rsidP="00E01DF7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（６）</w:t>
            </w:r>
            <w:r w:rsidRPr="000947A9">
              <w:rPr>
                <w:rFonts w:hint="eastAsia"/>
                <w:sz w:val="24"/>
                <w:szCs w:val="24"/>
              </w:rPr>
              <w:t xml:space="preserve">　</w:t>
            </w:r>
            <w:r w:rsidRPr="000947A9">
              <w:rPr>
                <w:rFonts w:hint="eastAsia"/>
                <w:sz w:val="24"/>
                <w:szCs w:val="24"/>
              </w:rPr>
              <w:t xml:space="preserve"> </w:t>
            </w:r>
            <w:r w:rsidRPr="000947A9">
              <w:rPr>
                <w:rFonts w:hint="eastAsia"/>
                <w:sz w:val="24"/>
                <w:szCs w:val="24"/>
              </w:rPr>
              <w:t>介護における尊厳の保持、介護の基本</w:t>
            </w:r>
          </w:p>
        </w:tc>
        <w:tc>
          <w:tcPr>
            <w:tcW w:w="1134" w:type="dxa"/>
            <w:vMerge w:val="restart"/>
            <w:vAlign w:val="center"/>
          </w:tcPr>
          <w:p w:rsidR="001B672A" w:rsidRPr="000947A9" w:rsidRDefault="001B672A" w:rsidP="00E01DF7">
            <w:pPr>
              <w:jc w:val="center"/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677" w:type="dxa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人権啓発に係る基礎知識</w:t>
            </w:r>
          </w:p>
        </w:tc>
        <w:tc>
          <w:tcPr>
            <w:tcW w:w="11199" w:type="dxa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●人権について</w:t>
            </w:r>
          </w:p>
        </w:tc>
      </w:tr>
      <w:tr w:rsidR="001B672A" w:rsidTr="00E01DF7">
        <w:tc>
          <w:tcPr>
            <w:tcW w:w="3936" w:type="dxa"/>
            <w:vMerge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672A" w:rsidRPr="000947A9" w:rsidRDefault="001B672A" w:rsidP="00E0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人権と尊厳を支える介護</w:t>
            </w:r>
          </w:p>
        </w:tc>
        <w:tc>
          <w:tcPr>
            <w:tcW w:w="11199" w:type="dxa"/>
          </w:tcPr>
          <w:p w:rsidR="00E01DF7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●個人としての尊重</w:t>
            </w:r>
            <w:r w:rsidRPr="000947A9">
              <w:rPr>
                <w:rFonts w:hint="eastAsia"/>
                <w:sz w:val="24"/>
                <w:szCs w:val="24"/>
              </w:rPr>
              <w:t xml:space="preserve"> </w:t>
            </w:r>
            <w:r w:rsidRPr="000947A9">
              <w:rPr>
                <w:rFonts w:hint="eastAsia"/>
                <w:sz w:val="24"/>
                <w:szCs w:val="24"/>
              </w:rPr>
              <w:t>●尊厳の保持●ＱＯＬの考え方</w:t>
            </w:r>
            <w:r w:rsidRPr="000947A9">
              <w:rPr>
                <w:rFonts w:hint="eastAsia"/>
                <w:sz w:val="24"/>
                <w:szCs w:val="24"/>
              </w:rPr>
              <w:t xml:space="preserve"> </w:t>
            </w:r>
            <w:r w:rsidRPr="000947A9">
              <w:rPr>
                <w:rFonts w:hint="eastAsia"/>
                <w:sz w:val="24"/>
                <w:szCs w:val="24"/>
              </w:rPr>
              <w:t>●ノーマライゼーションの考え方</w:t>
            </w:r>
          </w:p>
        </w:tc>
      </w:tr>
      <w:tr w:rsidR="001B672A" w:rsidTr="00E01DF7">
        <w:tc>
          <w:tcPr>
            <w:tcW w:w="3936" w:type="dxa"/>
            <w:vMerge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672A" w:rsidRPr="000947A9" w:rsidRDefault="001B672A" w:rsidP="00E0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介護職の職業倫理</w:t>
            </w:r>
          </w:p>
        </w:tc>
        <w:tc>
          <w:tcPr>
            <w:tcW w:w="11199" w:type="dxa"/>
          </w:tcPr>
          <w:p w:rsidR="001B672A" w:rsidRPr="000947A9" w:rsidRDefault="00E01DF7" w:rsidP="00E01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●職業倫理</w:t>
            </w:r>
            <w:r w:rsidRPr="000947A9">
              <w:rPr>
                <w:rFonts w:hint="eastAsia"/>
                <w:sz w:val="24"/>
                <w:szCs w:val="24"/>
              </w:rPr>
              <w:t>●利用者のプライバシーの保護</w:t>
            </w:r>
          </w:p>
        </w:tc>
      </w:tr>
      <w:tr w:rsidR="001B672A" w:rsidTr="00E01DF7">
        <w:tc>
          <w:tcPr>
            <w:tcW w:w="3936" w:type="dxa"/>
            <w:vMerge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672A" w:rsidRPr="000947A9" w:rsidRDefault="001B672A" w:rsidP="00E0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自立に向けた介護</w:t>
            </w:r>
          </w:p>
        </w:tc>
        <w:tc>
          <w:tcPr>
            <w:tcW w:w="11199" w:type="dxa"/>
          </w:tcPr>
          <w:p w:rsidR="001B672A" w:rsidRPr="000947A9" w:rsidRDefault="00E01DF7" w:rsidP="00E01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●介護における自立支援（残存能力の活用、意欲を高める介護）●</w:t>
            </w:r>
            <w:r w:rsidR="001B672A" w:rsidRPr="000947A9">
              <w:rPr>
                <w:rFonts w:hint="eastAsia"/>
                <w:sz w:val="24"/>
                <w:szCs w:val="24"/>
              </w:rPr>
              <w:t>介護予防</w:t>
            </w:r>
            <w:r>
              <w:rPr>
                <w:rFonts w:hint="eastAsia"/>
                <w:sz w:val="24"/>
                <w:szCs w:val="24"/>
              </w:rPr>
              <w:t>の考え方</w:t>
            </w:r>
          </w:p>
        </w:tc>
      </w:tr>
      <w:tr w:rsidR="001B672A" w:rsidTr="00E01DF7">
        <w:tc>
          <w:tcPr>
            <w:tcW w:w="3936" w:type="dxa"/>
            <w:vMerge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672A" w:rsidRPr="000947A9" w:rsidRDefault="001B672A" w:rsidP="00E0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安全の確保とリスクマネジメント</w:t>
            </w:r>
          </w:p>
        </w:tc>
        <w:tc>
          <w:tcPr>
            <w:tcW w:w="11199" w:type="dxa"/>
          </w:tcPr>
          <w:p w:rsidR="00E01DF7" w:rsidRDefault="00E01DF7" w:rsidP="00E01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●介護における安全の確保●リスクマネジメント●安全対策</w:t>
            </w:r>
          </w:p>
          <w:p w:rsidR="001B672A" w:rsidRPr="000947A9" w:rsidRDefault="00E01DF7" w:rsidP="009B75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  <w:r w:rsidR="001B672A" w:rsidRPr="000947A9">
              <w:rPr>
                <w:rFonts w:hint="eastAsia"/>
                <w:sz w:val="24"/>
                <w:szCs w:val="24"/>
              </w:rPr>
              <w:t>感染対策（リスクマネジメント、事故報告、情報の共有）</w:t>
            </w:r>
            <w:r>
              <w:rPr>
                <w:rFonts w:hint="eastAsia"/>
                <w:sz w:val="24"/>
                <w:szCs w:val="24"/>
              </w:rPr>
              <w:t>・生活援助における事故に結びつく</w:t>
            </w:r>
            <w:r w:rsidR="009B75F3">
              <w:rPr>
                <w:rFonts w:hint="eastAsia"/>
                <w:sz w:val="24"/>
                <w:szCs w:val="24"/>
              </w:rPr>
              <w:t>要因を探り対応していくポイント</w:t>
            </w:r>
          </w:p>
        </w:tc>
      </w:tr>
      <w:tr w:rsidR="001B672A" w:rsidTr="00E01DF7">
        <w:trPr>
          <w:trHeight w:val="324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B672A" w:rsidRPr="000947A9" w:rsidRDefault="001B672A" w:rsidP="00E0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介護職の安全</w:t>
            </w:r>
          </w:p>
        </w:tc>
        <w:tc>
          <w:tcPr>
            <w:tcW w:w="11199" w:type="dxa"/>
            <w:tcBorders>
              <w:bottom w:val="single" w:sz="4" w:space="0" w:color="auto"/>
            </w:tcBorders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  <w:r w:rsidRPr="000947A9">
              <w:rPr>
                <w:rFonts w:hint="eastAsia"/>
                <w:sz w:val="24"/>
                <w:szCs w:val="24"/>
              </w:rPr>
              <w:t>●介護職の</w:t>
            </w:r>
            <w:r w:rsidR="009B75F3">
              <w:rPr>
                <w:rFonts w:hint="eastAsia"/>
                <w:sz w:val="24"/>
                <w:szCs w:val="24"/>
              </w:rPr>
              <w:t>心身の</w:t>
            </w:r>
            <w:r w:rsidRPr="000947A9">
              <w:rPr>
                <w:rFonts w:hint="eastAsia"/>
                <w:sz w:val="24"/>
                <w:szCs w:val="24"/>
              </w:rPr>
              <w:t>健康管理（ストレスマネジメント、感染症対策）</w:t>
            </w:r>
          </w:p>
        </w:tc>
      </w:tr>
      <w:tr w:rsidR="001B672A" w:rsidTr="00E01DF7">
        <w:trPr>
          <w:trHeight w:val="300"/>
        </w:trPr>
        <w:tc>
          <w:tcPr>
            <w:tcW w:w="3936" w:type="dxa"/>
          </w:tcPr>
          <w:p w:rsidR="001B672A" w:rsidRDefault="001B672A" w:rsidP="00E01D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134" w:type="dxa"/>
            <w:vAlign w:val="center"/>
          </w:tcPr>
          <w:p w:rsidR="001B672A" w:rsidRPr="000947A9" w:rsidRDefault="001B672A" w:rsidP="00E01D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4677" w:type="dxa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</w:p>
        </w:tc>
        <w:tc>
          <w:tcPr>
            <w:tcW w:w="11199" w:type="dxa"/>
          </w:tcPr>
          <w:p w:rsidR="001B672A" w:rsidRPr="000947A9" w:rsidRDefault="001B672A" w:rsidP="00E01DF7">
            <w:pPr>
              <w:rPr>
                <w:sz w:val="24"/>
                <w:szCs w:val="24"/>
              </w:rPr>
            </w:pPr>
          </w:p>
        </w:tc>
      </w:tr>
    </w:tbl>
    <w:p w:rsidR="001E2CDE" w:rsidRDefault="007860D3" w:rsidP="00A958E8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たつの市</w:t>
      </w:r>
      <w:r w:rsidR="00607C70">
        <w:rPr>
          <w:rFonts w:asciiTheme="majorEastAsia" w:eastAsiaTheme="majorEastAsia" w:hAnsiTheme="majorEastAsia" w:hint="eastAsia"/>
          <w:kern w:val="0"/>
          <w:sz w:val="24"/>
          <w:szCs w:val="24"/>
        </w:rPr>
        <w:t>緩和した基準による訪問型サービス従事者</w:t>
      </w:r>
      <w:r w:rsidR="00A958E8" w:rsidRPr="00607C70">
        <w:rPr>
          <w:rFonts w:asciiTheme="majorEastAsia" w:eastAsiaTheme="majorEastAsia" w:hAnsiTheme="majorEastAsia" w:hint="eastAsia"/>
          <w:kern w:val="0"/>
          <w:sz w:val="24"/>
          <w:szCs w:val="24"/>
        </w:rPr>
        <w:t>研修カリキュラム</w:t>
      </w:r>
      <w:r w:rsidR="0001604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</w:p>
    <w:p w:rsidR="0001604F" w:rsidRDefault="0001604F" w:rsidP="0001604F">
      <w:pPr>
        <w:ind w:right="48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bookmarkStart w:id="0" w:name="_GoBack"/>
      <w:bookmarkEnd w:id="0"/>
    </w:p>
    <w:p w:rsidR="0001604F" w:rsidRPr="00A958E8" w:rsidRDefault="0001604F" w:rsidP="00A958E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01604F" w:rsidRPr="00A958E8" w:rsidSect="00BA1858">
      <w:pgSz w:w="23814" w:h="16839" w:orient="landscape" w:code="8"/>
      <w:pgMar w:top="1418" w:right="1304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11" w:rsidRDefault="00D55111" w:rsidP="00607C70">
      <w:r>
        <w:separator/>
      </w:r>
    </w:p>
  </w:endnote>
  <w:endnote w:type="continuationSeparator" w:id="0">
    <w:p w:rsidR="00D55111" w:rsidRDefault="00D55111" w:rsidP="0060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11" w:rsidRDefault="00D55111" w:rsidP="00607C70">
      <w:r>
        <w:separator/>
      </w:r>
    </w:p>
  </w:footnote>
  <w:footnote w:type="continuationSeparator" w:id="0">
    <w:p w:rsidR="00D55111" w:rsidRDefault="00D55111" w:rsidP="00607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C4"/>
    <w:rsid w:val="0001604F"/>
    <w:rsid w:val="000947A9"/>
    <w:rsid w:val="000D0798"/>
    <w:rsid w:val="000D552D"/>
    <w:rsid w:val="000F2310"/>
    <w:rsid w:val="00156104"/>
    <w:rsid w:val="001B672A"/>
    <w:rsid w:val="001E2CDE"/>
    <w:rsid w:val="0035319F"/>
    <w:rsid w:val="004954E7"/>
    <w:rsid w:val="0058603B"/>
    <w:rsid w:val="005E1C08"/>
    <w:rsid w:val="00607C70"/>
    <w:rsid w:val="00612230"/>
    <w:rsid w:val="0072577C"/>
    <w:rsid w:val="007860D3"/>
    <w:rsid w:val="007A20C4"/>
    <w:rsid w:val="008B5767"/>
    <w:rsid w:val="008D4ED5"/>
    <w:rsid w:val="009B75F3"/>
    <w:rsid w:val="00A34FBD"/>
    <w:rsid w:val="00A958E8"/>
    <w:rsid w:val="00B81B17"/>
    <w:rsid w:val="00B949C8"/>
    <w:rsid w:val="00BA1858"/>
    <w:rsid w:val="00D009B3"/>
    <w:rsid w:val="00D55111"/>
    <w:rsid w:val="00DD3173"/>
    <w:rsid w:val="00E01DF7"/>
    <w:rsid w:val="00E4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23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C70"/>
  </w:style>
  <w:style w:type="paragraph" w:styleId="a8">
    <w:name w:val="footer"/>
    <w:basedOn w:val="a"/>
    <w:link w:val="a9"/>
    <w:uiPriority w:val="99"/>
    <w:unhideWhenUsed/>
    <w:rsid w:val="00607C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23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C70"/>
  </w:style>
  <w:style w:type="paragraph" w:styleId="a8">
    <w:name w:val="footer"/>
    <w:basedOn w:val="a"/>
    <w:link w:val="a9"/>
    <w:uiPriority w:val="99"/>
    <w:unhideWhenUsed/>
    <w:rsid w:val="00607C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874F-6EE4-4828-8BF1-A0E50DF2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 祐子</dc:creator>
  <cp:lastModifiedBy>梅田 祐子</cp:lastModifiedBy>
  <cp:revision>15</cp:revision>
  <cp:lastPrinted>2017-01-12T02:41:00Z</cp:lastPrinted>
  <dcterms:created xsi:type="dcterms:W3CDTF">2016-11-28T08:54:00Z</dcterms:created>
  <dcterms:modified xsi:type="dcterms:W3CDTF">2017-02-13T00:42:00Z</dcterms:modified>
</cp:coreProperties>
</file>